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A8" w:rsidRPr="00513D58" w:rsidRDefault="00D72BA8" w:rsidP="00F70F10">
      <w:pPr>
        <w:pStyle w:val="Heading1"/>
        <w:ind w:left="2160"/>
        <w:rPr>
          <w:noProof/>
        </w:rPr>
      </w:pPr>
      <w:r w:rsidRPr="00513D58">
        <w:rPr>
          <w:noProof/>
        </w:rPr>
        <w:t xml:space="preserve">Residentuuri vastuvõtueksami kordamisküsimused </w:t>
      </w:r>
    </w:p>
    <w:p w:rsidR="00D72BA8" w:rsidRPr="00513D58" w:rsidRDefault="00D72BA8" w:rsidP="00F70F10">
      <w:pPr>
        <w:pStyle w:val="Heading1"/>
        <w:ind w:left="1440"/>
        <w:rPr>
          <w:b/>
          <w:bCs/>
          <w:noProof/>
        </w:rPr>
      </w:pPr>
      <w:r w:rsidRPr="00513D58">
        <w:rPr>
          <w:b/>
          <w:bCs/>
          <w:noProof/>
        </w:rPr>
        <w:t xml:space="preserve">psühhiaatria ja psühhiaatria eriala laste- ja noorukitepsühhiaatria </w:t>
      </w:r>
    </w:p>
    <w:p w:rsidR="00D72BA8" w:rsidRPr="00513D58" w:rsidRDefault="00D72BA8" w:rsidP="00F70F10">
      <w:pPr>
        <w:pStyle w:val="Heading1"/>
        <w:ind w:left="3600"/>
        <w:rPr>
          <w:bCs/>
          <w:noProof/>
        </w:rPr>
      </w:pPr>
      <w:bookmarkStart w:id="0" w:name="_GoBack"/>
      <w:bookmarkEnd w:id="0"/>
      <w:r w:rsidRPr="00513D58">
        <w:rPr>
          <w:b/>
          <w:bCs/>
          <w:noProof/>
        </w:rPr>
        <w:t xml:space="preserve">kõrvalerialaga </w:t>
      </w:r>
      <w:r w:rsidR="00513D58" w:rsidRPr="00513D58">
        <w:rPr>
          <w:bCs/>
          <w:noProof/>
        </w:rPr>
        <w:t>2024.a</w:t>
      </w:r>
    </w:p>
    <w:p w:rsidR="00D72BA8" w:rsidRPr="00513D58" w:rsidRDefault="00D72BA8" w:rsidP="00C37709">
      <w:pPr>
        <w:pStyle w:val="Default"/>
        <w:spacing w:after="27"/>
        <w:rPr>
          <w:noProof/>
        </w:rPr>
      </w:pP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  <w:color w:val="auto"/>
        </w:rPr>
        <w:t>Psühhopatoloogia</w:t>
      </w:r>
      <w:r w:rsidRPr="00513D58">
        <w:rPr>
          <w:noProof/>
        </w:rPr>
        <w:t xml:space="preserve"> põhimõisted ja süstemaatika. </w:t>
      </w:r>
    </w:p>
    <w:p w:rsidR="00C17302" w:rsidRPr="00513D58" w:rsidRDefault="00C17302" w:rsidP="00513D58">
      <w:pPr>
        <w:pStyle w:val="Default"/>
        <w:numPr>
          <w:ilvl w:val="0"/>
          <w:numId w:val="9"/>
        </w:numPr>
        <w:spacing w:after="27"/>
        <w:rPr>
          <w:noProof/>
          <w:color w:val="auto"/>
        </w:rPr>
      </w:pPr>
      <w:r w:rsidRPr="00513D58">
        <w:rPr>
          <w:noProof/>
          <w:color w:val="auto"/>
        </w:rPr>
        <w:t>Psühhiaatrilise abi seadus, vältimatu psühhiaatriline abi, tahtest olenematu psühhiaatriline abi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  <w:color w:val="auto"/>
        </w:rPr>
        <w:t>Psüühikahäirete</w:t>
      </w:r>
      <w:r w:rsidRPr="00513D58">
        <w:rPr>
          <w:noProof/>
        </w:rPr>
        <w:t xml:space="preserve"> diagnostika ja diferentsiaaldiagnostika üldpõhimõtted. </w:t>
      </w:r>
    </w:p>
    <w:p w:rsidR="00F77B5B" w:rsidRPr="00513D58" w:rsidRDefault="00C37709" w:rsidP="00513D58">
      <w:pPr>
        <w:pStyle w:val="ListParagraph"/>
        <w:numPr>
          <w:ilvl w:val="0"/>
          <w:numId w:val="9"/>
        </w:numPr>
        <w:tabs>
          <w:tab w:val="left" w:pos="2600"/>
        </w:tabs>
        <w:autoSpaceDE w:val="0"/>
        <w:autoSpaceDN w:val="0"/>
        <w:adjustRightInd w:val="0"/>
        <w:spacing w:after="0"/>
        <w:rPr>
          <w:rFonts w:ascii="Times New Roman" w:hAnsi="Times New Roman"/>
          <w:noProof/>
          <w:sz w:val="24"/>
          <w:szCs w:val="24"/>
        </w:rPr>
      </w:pPr>
      <w:r w:rsidRPr="00513D58">
        <w:rPr>
          <w:rFonts w:ascii="Times New Roman" w:hAnsi="Times New Roman"/>
          <w:noProof/>
          <w:sz w:val="24"/>
          <w:szCs w:val="24"/>
        </w:rPr>
        <w:t>Orgaaniliste psüühikahäirete süstemaatika põhimõtted RHK-10-s ja p</w:t>
      </w:r>
      <w:r w:rsidR="00D72BA8" w:rsidRPr="00513D58">
        <w:rPr>
          <w:rFonts w:ascii="Times New Roman" w:hAnsi="Times New Roman"/>
          <w:noProof/>
          <w:sz w:val="24"/>
          <w:szCs w:val="24"/>
        </w:rPr>
        <w:t>eamised etioloogilised faktorid, testimismeetodid</w:t>
      </w:r>
      <w:r w:rsidR="00F77B5B" w:rsidRPr="00513D58">
        <w:rPr>
          <w:rFonts w:ascii="Times New Roman" w:hAnsi="Times New Roman"/>
          <w:noProof/>
          <w:sz w:val="24"/>
          <w:szCs w:val="24"/>
        </w:rPr>
        <w:t>.</w:t>
      </w:r>
    </w:p>
    <w:p w:rsidR="00C37709" w:rsidRPr="00513D58" w:rsidRDefault="00F77B5B" w:rsidP="00513D58">
      <w:pPr>
        <w:pStyle w:val="ListParagraph"/>
        <w:numPr>
          <w:ilvl w:val="0"/>
          <w:numId w:val="9"/>
        </w:numPr>
        <w:tabs>
          <w:tab w:val="left" w:pos="2600"/>
        </w:tabs>
        <w:autoSpaceDE w:val="0"/>
        <w:autoSpaceDN w:val="0"/>
        <w:adjustRightInd w:val="0"/>
        <w:spacing w:after="0"/>
        <w:rPr>
          <w:rFonts w:ascii="Times New Roman" w:hAnsi="Times New Roman"/>
          <w:noProof/>
          <w:sz w:val="24"/>
          <w:szCs w:val="24"/>
        </w:rPr>
      </w:pPr>
      <w:r w:rsidRPr="00513D58">
        <w:rPr>
          <w:rFonts w:ascii="Times New Roman" w:hAnsi="Times New Roman"/>
          <w:noProof/>
          <w:sz w:val="24"/>
          <w:szCs w:val="24"/>
        </w:rPr>
        <w:t xml:space="preserve">Orgaanilised psüühikahäired: dementsus, deliirium, amnestiline sündroom, orgaanilised isiksus- ja käitumishäired; põhjused, diagnoos ja ravi </w:t>
      </w:r>
      <w:r w:rsidR="00C37709" w:rsidRPr="00513D58">
        <w:rPr>
          <w:rFonts w:ascii="Times New Roman" w:hAnsi="Times New Roman"/>
          <w:noProof/>
          <w:sz w:val="24"/>
          <w:szCs w:val="24"/>
        </w:rPr>
        <w:t xml:space="preserve">– kliinilised tunnused RHK-10-s ja ravi üldpõhimõtted.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rPr>
          <w:noProof/>
        </w:rPr>
      </w:pPr>
      <w:r w:rsidRPr="00513D58">
        <w:rPr>
          <w:noProof/>
          <w:color w:val="auto"/>
        </w:rPr>
        <w:t>Deliiriumisündroom</w:t>
      </w:r>
      <w:r w:rsidRPr="00513D58">
        <w:rPr>
          <w:noProof/>
        </w:rPr>
        <w:t xml:space="preserve"> – kliinilised tunnused RHK-10-s ja ravi üldpõhimõtted. </w:t>
      </w:r>
    </w:p>
    <w:p w:rsidR="00C37709" w:rsidRPr="00513D58" w:rsidRDefault="00D72BA8" w:rsidP="00513D58">
      <w:pPr>
        <w:pStyle w:val="Default"/>
        <w:numPr>
          <w:ilvl w:val="0"/>
          <w:numId w:val="9"/>
        </w:numPr>
        <w:rPr>
          <w:noProof/>
        </w:rPr>
      </w:pPr>
      <w:r w:rsidRPr="00513D58">
        <w:rPr>
          <w:noProof/>
          <w:color w:val="auto"/>
        </w:rPr>
        <w:t>Psühhoaktiivsed</w:t>
      </w:r>
      <w:r w:rsidR="00C37709" w:rsidRPr="00513D58">
        <w:rPr>
          <w:noProof/>
        </w:rPr>
        <w:t xml:space="preserve"> ained ja neist tingitud psüühikahäired.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  <w:color w:val="auto"/>
        </w:rPr>
        <w:t>Sõltuvussündroomi</w:t>
      </w:r>
      <w:r w:rsidRPr="00513D58">
        <w:rPr>
          <w:noProof/>
        </w:rPr>
        <w:t xml:space="preserve"> kliinilised tunnused RHK-10-s ja ravi põhimõtted.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  <w:color w:val="auto"/>
        </w:rPr>
        <w:t xml:space="preserve">Võõrutusseisundi </w:t>
      </w:r>
      <w:r w:rsidRPr="00513D58">
        <w:rPr>
          <w:noProof/>
        </w:rPr>
        <w:t xml:space="preserve">(sealhulgas võõrutusdeliirium) kliinilised tunnused RHK-10-s ja ravipõhimõtted.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  <w:color w:val="auto"/>
        </w:rPr>
        <w:t>Psüühikahäired alkoholist: joove, võõrutussündroom, võõrutusdeliirium, psühhootiline häire, amnestiline sündroom, isiksusemuutus</w:t>
      </w:r>
      <w:r w:rsidRPr="00513D58">
        <w:rPr>
          <w:noProof/>
        </w:rPr>
        <w:t xml:space="preserve">, dementsus.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rPr>
          <w:noProof/>
        </w:rPr>
      </w:pPr>
      <w:r w:rsidRPr="00513D58">
        <w:rPr>
          <w:noProof/>
          <w:color w:val="auto"/>
        </w:rPr>
        <w:t>Skisofreenia</w:t>
      </w:r>
      <w:r w:rsidRPr="00513D58">
        <w:rPr>
          <w:noProof/>
        </w:rPr>
        <w:t xml:space="preserve"> etiopatogenees, kliinilised tunnused (RHK-10).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Äge psühhootiline episood (RHK-10) – kliinilised tunnused, erinevus skisofreeniast ja püsivast luululisest häirest.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Püsivad luululised häired (RHK-10) – kliinilised tunnused, erinevus skisofreeniast ja ägedast psühhootilisest episoodist.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Skisoafektiivsed häired – olulisemad kliinilised tunnused (RHK-10) ja ravipõhimõtted.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  <w:color w:val="auto"/>
        </w:rPr>
      </w:pPr>
      <w:r w:rsidRPr="00513D58">
        <w:rPr>
          <w:noProof/>
          <w:color w:val="auto"/>
        </w:rPr>
        <w:t>Psühhoo</w:t>
      </w:r>
      <w:r w:rsidR="00C17302" w:rsidRPr="00513D58">
        <w:rPr>
          <w:noProof/>
          <w:color w:val="auto"/>
        </w:rPr>
        <w:t>tiliste häirete raviprintsiibid.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Meeleoluhäirete etiopatogenees (psühholoogilised ja bioloogilised teooriad).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Bipolaarne häire (kliinilised tunnused ja ravipõhimõtted).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Depressiooni (depressiivne episood ja korduv depressioon) kliinilised tunnused ja ravipõhimõtted.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Äge stressreaktsioon: kliinilised tunnused ja ravipõhimõtted.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Posttraumaatiline stresshäire: kliinilised tunnused ja ravipõhimõtted.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Kohanemishäirete kliinilised tunnused.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Foobsete ärevushäirete kliinilised tunnused.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Sotsiaalfoobiale iseloomulikud kliinilised tunnused ja ravipõhimõtted.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Paanikahäire ja agorafoobia kliinilised tunnused, ja ravi põhimõtted.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Generaliseerunud ärevushäire kliinilised tunnused ja ravi põhimõtted.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Somatisatsioonihäire ja hüpohondria: kliinilised tunnused.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Somatoformne vegetatiivne düsfunktsioon ja püsiv somatoformne valu – kliinilised tunnused ja ravipõhimõtted.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Dissotsiatiivsete häirete kliinilised tunnused ja ravipõhimõtted.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i/>
          <w:iCs/>
          <w:noProof/>
        </w:rPr>
        <w:t xml:space="preserve">Anorexia nervosa </w:t>
      </w:r>
      <w:r w:rsidRPr="00513D58">
        <w:rPr>
          <w:noProof/>
        </w:rPr>
        <w:t xml:space="preserve">ja </w:t>
      </w:r>
      <w:r w:rsidRPr="00513D58">
        <w:rPr>
          <w:i/>
          <w:iCs/>
          <w:noProof/>
        </w:rPr>
        <w:t xml:space="preserve">bulimia nervosa </w:t>
      </w:r>
      <w:r w:rsidRPr="00513D58">
        <w:rPr>
          <w:noProof/>
        </w:rPr>
        <w:t xml:space="preserve">kliinilised tunnused ja ravipõhimõtted.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Unehäired: kliinilised tunnused ja ravipõhimõtted. </w:t>
      </w:r>
    </w:p>
    <w:p w:rsidR="00C37709" w:rsidRPr="00513D58" w:rsidRDefault="00C17302" w:rsidP="00513D58">
      <w:pPr>
        <w:pStyle w:val="Default"/>
        <w:numPr>
          <w:ilvl w:val="0"/>
          <w:numId w:val="8"/>
        </w:numPr>
        <w:spacing w:after="27"/>
        <w:rPr>
          <w:noProof/>
        </w:rPr>
      </w:pPr>
      <w:r w:rsidRPr="00513D58">
        <w:rPr>
          <w:noProof/>
        </w:rPr>
        <w:t>33</w:t>
      </w:r>
      <w:r w:rsidR="00C37709" w:rsidRPr="00513D58">
        <w:rPr>
          <w:noProof/>
        </w:rPr>
        <w:t xml:space="preserve">. Isiksushäirete kliinilised tunnused ja ravipõhimõtted.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Hüperkineetiliste häirete kliinilised tunnused ja ravipõhimõtted.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Pervasiivsete häirete kliinilised tunnused ja käsitlus.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 xml:space="preserve">Vaimse alaarengu kliinilised tunnused ja käsitlus. </w:t>
      </w:r>
    </w:p>
    <w:p w:rsidR="00D72BA8" w:rsidRPr="00513D58" w:rsidRDefault="00D72BA8" w:rsidP="00513D58">
      <w:pPr>
        <w:pStyle w:val="Default"/>
        <w:numPr>
          <w:ilvl w:val="0"/>
          <w:numId w:val="9"/>
        </w:numPr>
        <w:spacing w:after="27"/>
        <w:rPr>
          <w:noProof/>
          <w:color w:val="auto"/>
        </w:rPr>
      </w:pPr>
      <w:r w:rsidRPr="00513D58">
        <w:rPr>
          <w:noProof/>
          <w:color w:val="auto"/>
        </w:rPr>
        <w:t>Kognitiivse võimekuse häired ja õpiraskused</w:t>
      </w:r>
      <w:r w:rsidR="00104A50" w:rsidRPr="00513D58">
        <w:rPr>
          <w:noProof/>
          <w:color w:val="auto"/>
        </w:rPr>
        <w:t>, kliinilised tunnused ja käsitlus</w:t>
      </w:r>
    </w:p>
    <w:p w:rsidR="00C37709" w:rsidRPr="00513D58" w:rsidRDefault="00104A50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  <w:color w:val="auto"/>
        </w:rPr>
        <w:t>Riski (vägivaldus, impulsiivsus jms) hindamine,</w:t>
      </w:r>
      <w:r w:rsidRPr="00513D58">
        <w:rPr>
          <w:noProof/>
        </w:rPr>
        <w:t xml:space="preserve"> </w:t>
      </w:r>
      <w:r w:rsidR="00C37709" w:rsidRPr="00513D58">
        <w:rPr>
          <w:noProof/>
        </w:rPr>
        <w:t xml:space="preserve">patsiendi käsitlus. </w:t>
      </w:r>
    </w:p>
    <w:p w:rsidR="00C37709" w:rsidRPr="00513D58" w:rsidRDefault="00C17302" w:rsidP="00513D58">
      <w:pPr>
        <w:pStyle w:val="Default"/>
        <w:numPr>
          <w:ilvl w:val="0"/>
          <w:numId w:val="9"/>
        </w:numPr>
        <w:spacing w:after="27"/>
        <w:rPr>
          <w:noProof/>
          <w:color w:val="auto"/>
        </w:rPr>
      </w:pPr>
      <w:r w:rsidRPr="00513D58">
        <w:rPr>
          <w:noProof/>
          <w:color w:val="auto"/>
        </w:rPr>
        <w:t>Suitsidaalsuse hindamine, suitsidaalse</w:t>
      </w:r>
      <w:r w:rsidR="00C37709" w:rsidRPr="00513D58">
        <w:rPr>
          <w:noProof/>
          <w:color w:val="auto"/>
        </w:rPr>
        <w:t xml:space="preserve"> patsiendi käsitlus.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rPr>
          <w:noProof/>
        </w:rPr>
      </w:pPr>
      <w:r w:rsidRPr="00513D58">
        <w:rPr>
          <w:noProof/>
        </w:rPr>
        <w:t>Psüühikahäiretega inimeste rehabilitatsioon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rPr>
          <w:noProof/>
        </w:rPr>
      </w:pPr>
      <w:r w:rsidRPr="00513D58">
        <w:rPr>
          <w:noProof/>
        </w:rPr>
        <w:t xml:space="preserve">Neuroleptikumid e. antipsühhootikumid (sh konventsionaalsed ja SDA tüüpi; toimemehhanism, kõrvaltoimed). </w:t>
      </w:r>
    </w:p>
    <w:p w:rsidR="00C37709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t>Antidepressandid, sh peamised antidepressantide grupi</w:t>
      </w:r>
      <w:r w:rsidR="008C0A01" w:rsidRPr="00513D58">
        <w:rPr>
          <w:noProof/>
        </w:rPr>
        <w:t>d, toimemehhanism, kõrvaltoimed</w:t>
      </w:r>
      <w:r w:rsidRPr="00513D58">
        <w:rPr>
          <w:noProof/>
        </w:rPr>
        <w:t xml:space="preserve">. </w:t>
      </w:r>
    </w:p>
    <w:p w:rsidR="00513D58" w:rsidRPr="00513D58" w:rsidRDefault="00C37709" w:rsidP="00513D58">
      <w:pPr>
        <w:pStyle w:val="Default"/>
        <w:numPr>
          <w:ilvl w:val="0"/>
          <w:numId w:val="9"/>
        </w:numPr>
        <w:spacing w:after="27"/>
        <w:rPr>
          <w:noProof/>
        </w:rPr>
      </w:pPr>
      <w:r w:rsidRPr="00513D58">
        <w:rPr>
          <w:noProof/>
        </w:rPr>
        <w:lastRenderedPageBreak/>
        <w:t>Anksi</w:t>
      </w:r>
      <w:r w:rsidR="008C0A01" w:rsidRPr="00513D58">
        <w:rPr>
          <w:noProof/>
        </w:rPr>
        <w:t>olüütilised ained ja uinutid, nende toimemehhanism, kõrvaltoimed</w:t>
      </w:r>
      <w:r w:rsidRPr="00513D58">
        <w:rPr>
          <w:noProof/>
        </w:rPr>
        <w:t xml:space="preserve">. </w:t>
      </w:r>
    </w:p>
    <w:p w:rsidR="00513D58" w:rsidRPr="00513D58" w:rsidRDefault="00513D58" w:rsidP="00513D58">
      <w:pPr>
        <w:pStyle w:val="Default"/>
        <w:numPr>
          <w:ilvl w:val="0"/>
          <w:numId w:val="9"/>
        </w:numPr>
        <w:spacing w:after="27"/>
        <w:rPr>
          <w:noProof/>
          <w:color w:val="auto"/>
        </w:rPr>
      </w:pPr>
      <w:r w:rsidRPr="00513D58">
        <w:rPr>
          <w:noProof/>
          <w:color w:val="auto"/>
        </w:rPr>
        <w:t>Meeleolu stabilisaatorid – näidustused, toimemehhanism, annused, kõrvaltoimed</w:t>
      </w:r>
    </w:p>
    <w:p w:rsidR="00513D58" w:rsidRPr="00513D58" w:rsidRDefault="00513D58" w:rsidP="00513D58">
      <w:pPr>
        <w:pStyle w:val="ListParagraph"/>
        <w:numPr>
          <w:ilvl w:val="0"/>
          <w:numId w:val="9"/>
        </w:numPr>
        <w:rPr>
          <w:rFonts w:ascii="Times New Roman" w:hAnsi="Times New Roman"/>
          <w:noProof/>
          <w:sz w:val="24"/>
          <w:szCs w:val="24"/>
        </w:rPr>
      </w:pPr>
      <w:r w:rsidRPr="00513D58">
        <w:rPr>
          <w:rFonts w:ascii="Times New Roman" w:hAnsi="Times New Roman"/>
          <w:noProof/>
          <w:sz w:val="24"/>
          <w:szCs w:val="24"/>
        </w:rPr>
        <w:t>Stimulaatorid – näidustused, toimemehhanism, annused, kõrvaltoimed</w:t>
      </w:r>
    </w:p>
    <w:p w:rsidR="00513D58" w:rsidRPr="00513D58" w:rsidRDefault="00513D58" w:rsidP="00513D58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513D58">
        <w:rPr>
          <w:rFonts w:ascii="Times New Roman" w:hAnsi="Times New Roman"/>
          <w:noProof/>
          <w:sz w:val="24"/>
          <w:szCs w:val="24"/>
        </w:rPr>
        <w:t>Sõltuvuse raviks kasutatavad ravimid – näidustused, toimemehhanism, kõrvaltoimed</w:t>
      </w:r>
    </w:p>
    <w:p w:rsidR="00513D58" w:rsidRPr="00513D58" w:rsidRDefault="00513D58" w:rsidP="00513D58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513D58">
        <w:rPr>
          <w:rFonts w:ascii="Times New Roman" w:hAnsi="Times New Roman"/>
          <w:noProof/>
          <w:sz w:val="24"/>
          <w:szCs w:val="24"/>
        </w:rPr>
        <w:t>Ravimid, mida kasutatakse kognitiivse languse puhul – näidustused, toimemehhanism, kõrvaltoimed</w:t>
      </w:r>
    </w:p>
    <w:p w:rsidR="00513D58" w:rsidRPr="00513D58" w:rsidRDefault="00513D58" w:rsidP="00571522">
      <w:pPr>
        <w:pStyle w:val="ListParagraph"/>
        <w:numPr>
          <w:ilvl w:val="0"/>
          <w:numId w:val="9"/>
        </w:numPr>
        <w:spacing w:after="27"/>
        <w:rPr>
          <w:rFonts w:ascii="Times New Roman" w:hAnsi="Times New Roman"/>
          <w:noProof/>
          <w:sz w:val="24"/>
          <w:szCs w:val="24"/>
        </w:rPr>
      </w:pPr>
      <w:r w:rsidRPr="00513D58">
        <w:rPr>
          <w:rFonts w:ascii="Times New Roman" w:hAnsi="Times New Roman"/>
          <w:noProof/>
          <w:sz w:val="24"/>
          <w:szCs w:val="24"/>
        </w:rPr>
        <w:t xml:space="preserve">Neuroleptikumidest tingitud kõrvaltoimete ravi. </w:t>
      </w:r>
    </w:p>
    <w:p w:rsidR="00513D58" w:rsidRPr="00513D58" w:rsidRDefault="00C37709" w:rsidP="00513D58">
      <w:pPr>
        <w:pStyle w:val="ListParagraph"/>
        <w:numPr>
          <w:ilvl w:val="0"/>
          <w:numId w:val="9"/>
        </w:numPr>
        <w:spacing w:after="27"/>
        <w:rPr>
          <w:rFonts w:ascii="Times New Roman" w:hAnsi="Times New Roman"/>
          <w:noProof/>
          <w:sz w:val="24"/>
          <w:szCs w:val="24"/>
        </w:rPr>
      </w:pPr>
      <w:r w:rsidRPr="00513D58">
        <w:rPr>
          <w:rFonts w:ascii="Times New Roman" w:hAnsi="Times New Roman"/>
          <w:noProof/>
          <w:sz w:val="24"/>
          <w:szCs w:val="24"/>
        </w:rPr>
        <w:t>Depressiooni ja ärevushäirete psühholoogilised seletused ja kogniti</w:t>
      </w:r>
      <w:r w:rsidR="00513D58" w:rsidRPr="00513D58">
        <w:rPr>
          <w:rFonts w:ascii="Times New Roman" w:hAnsi="Times New Roman"/>
          <w:noProof/>
          <w:sz w:val="24"/>
          <w:szCs w:val="24"/>
        </w:rPr>
        <w:t>iv-käitumisteraapia põhimõtted.</w:t>
      </w:r>
    </w:p>
    <w:p w:rsidR="00513D58" w:rsidRPr="00513D58" w:rsidRDefault="00C37709" w:rsidP="00513D58">
      <w:pPr>
        <w:pStyle w:val="ListParagraph"/>
        <w:numPr>
          <w:ilvl w:val="0"/>
          <w:numId w:val="9"/>
        </w:numPr>
        <w:spacing w:after="27"/>
        <w:rPr>
          <w:rFonts w:ascii="Times New Roman" w:hAnsi="Times New Roman"/>
          <w:noProof/>
          <w:sz w:val="24"/>
          <w:szCs w:val="24"/>
        </w:rPr>
      </w:pPr>
      <w:r w:rsidRPr="00513D58">
        <w:rPr>
          <w:rFonts w:ascii="Times New Roman" w:hAnsi="Times New Roman"/>
          <w:noProof/>
          <w:sz w:val="24"/>
          <w:szCs w:val="24"/>
        </w:rPr>
        <w:t xml:space="preserve">Somatoformsete häirete psühholoogilised seletused ja kognitiiv-käitumisteraapia põhimõtted. </w:t>
      </w:r>
    </w:p>
    <w:p w:rsidR="00C37709" w:rsidRPr="00513D58" w:rsidRDefault="00C37709" w:rsidP="00513D58">
      <w:pPr>
        <w:pStyle w:val="ListParagraph"/>
        <w:numPr>
          <w:ilvl w:val="0"/>
          <w:numId w:val="9"/>
        </w:numPr>
        <w:spacing w:after="27"/>
        <w:rPr>
          <w:rFonts w:ascii="Times New Roman" w:hAnsi="Times New Roman"/>
          <w:noProof/>
          <w:sz w:val="24"/>
          <w:szCs w:val="24"/>
        </w:rPr>
      </w:pPr>
      <w:r w:rsidRPr="00513D58">
        <w:rPr>
          <w:rFonts w:ascii="Times New Roman" w:hAnsi="Times New Roman"/>
          <w:noProof/>
          <w:sz w:val="24"/>
          <w:szCs w:val="24"/>
        </w:rPr>
        <w:t>Arsti töö psühholoogilised aspektid, va</w:t>
      </w:r>
      <w:r w:rsidR="00C17302" w:rsidRPr="00513D58">
        <w:rPr>
          <w:rFonts w:ascii="Times New Roman" w:hAnsi="Times New Roman"/>
          <w:noProof/>
          <w:sz w:val="24"/>
          <w:szCs w:val="24"/>
        </w:rPr>
        <w:t>stupidavus ja selle arend</w:t>
      </w:r>
      <w:r w:rsidR="00D803E9" w:rsidRPr="00513D58">
        <w:rPr>
          <w:rFonts w:ascii="Times New Roman" w:hAnsi="Times New Roman"/>
          <w:noProof/>
          <w:sz w:val="24"/>
          <w:szCs w:val="24"/>
        </w:rPr>
        <w:t>amine</w:t>
      </w:r>
      <w:r w:rsidR="00C17302" w:rsidRPr="00513D58">
        <w:rPr>
          <w:rFonts w:ascii="Times New Roman" w:hAnsi="Times New Roman"/>
          <w:noProof/>
          <w:sz w:val="24"/>
          <w:szCs w:val="24"/>
        </w:rPr>
        <w:t>, läbipõlemise vältimine</w:t>
      </w:r>
      <w:r w:rsidR="00D803E9" w:rsidRPr="00513D58">
        <w:rPr>
          <w:rFonts w:ascii="Times New Roman" w:hAnsi="Times New Roman"/>
          <w:noProof/>
          <w:sz w:val="24"/>
          <w:szCs w:val="24"/>
        </w:rPr>
        <w:t>.</w:t>
      </w:r>
    </w:p>
    <w:p w:rsidR="00E11D94" w:rsidRPr="00513D58" w:rsidRDefault="00E11D94" w:rsidP="00513D58">
      <w:pPr>
        <w:rPr>
          <w:rFonts w:ascii="Times New Roman" w:hAnsi="Times New Roman"/>
          <w:i/>
          <w:noProof/>
          <w:color w:val="C00000"/>
          <w:sz w:val="24"/>
          <w:szCs w:val="24"/>
        </w:rPr>
      </w:pPr>
    </w:p>
    <w:sectPr w:rsidR="00E11D94" w:rsidRPr="00513D58" w:rsidSect="00F8614F">
      <w:pgSz w:w="11904" w:h="17840"/>
      <w:pgMar w:top="1934" w:right="324" w:bottom="644" w:left="132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85E"/>
    <w:multiLevelType w:val="hybridMultilevel"/>
    <w:tmpl w:val="AC6E6C7E"/>
    <w:lvl w:ilvl="0" w:tplc="3896625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52F"/>
    <w:multiLevelType w:val="hybridMultilevel"/>
    <w:tmpl w:val="E6C600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6843"/>
    <w:multiLevelType w:val="hybridMultilevel"/>
    <w:tmpl w:val="C19AACD4"/>
    <w:lvl w:ilvl="0" w:tplc="9B7EC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27E4"/>
    <w:multiLevelType w:val="hybridMultilevel"/>
    <w:tmpl w:val="B5E222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E54E6"/>
    <w:multiLevelType w:val="hybridMultilevel"/>
    <w:tmpl w:val="25BCF250"/>
    <w:lvl w:ilvl="0" w:tplc="7752FCC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31AC3"/>
    <w:multiLevelType w:val="hybridMultilevel"/>
    <w:tmpl w:val="FE0258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163BE"/>
    <w:multiLevelType w:val="hybridMultilevel"/>
    <w:tmpl w:val="643CD734"/>
    <w:lvl w:ilvl="0" w:tplc="ACF6DBF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766B9"/>
    <w:multiLevelType w:val="hybridMultilevel"/>
    <w:tmpl w:val="1758F1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0DEC"/>
    <w:multiLevelType w:val="hybridMultilevel"/>
    <w:tmpl w:val="9EA6BAA8"/>
    <w:lvl w:ilvl="0" w:tplc="0425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09"/>
    <w:rsid w:val="00026FA9"/>
    <w:rsid w:val="00104A50"/>
    <w:rsid w:val="002019F0"/>
    <w:rsid w:val="002536D2"/>
    <w:rsid w:val="00513D58"/>
    <w:rsid w:val="005A6515"/>
    <w:rsid w:val="006F1944"/>
    <w:rsid w:val="008C0A01"/>
    <w:rsid w:val="008F0C31"/>
    <w:rsid w:val="0094729F"/>
    <w:rsid w:val="00A37096"/>
    <w:rsid w:val="00C17302"/>
    <w:rsid w:val="00C35CFC"/>
    <w:rsid w:val="00C37709"/>
    <w:rsid w:val="00C63CE2"/>
    <w:rsid w:val="00D72BA8"/>
    <w:rsid w:val="00D7372E"/>
    <w:rsid w:val="00D803E9"/>
    <w:rsid w:val="00E11D94"/>
    <w:rsid w:val="00E81527"/>
    <w:rsid w:val="00F70F10"/>
    <w:rsid w:val="00F77B5B"/>
    <w:rsid w:val="00F8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A4D6"/>
  <w15:chartTrackingRefBased/>
  <w15:docId w15:val="{C9895360-F396-488C-9091-4258C9DA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2BA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7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D72BA8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SA TY Kliinikum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Susi</dc:creator>
  <cp:keywords/>
  <dc:description/>
  <cp:lastModifiedBy>Halja Suss</cp:lastModifiedBy>
  <cp:revision>3</cp:revision>
  <dcterms:created xsi:type="dcterms:W3CDTF">2024-04-30T07:40:00Z</dcterms:created>
  <dcterms:modified xsi:type="dcterms:W3CDTF">2024-04-30T07:40:00Z</dcterms:modified>
</cp:coreProperties>
</file>