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A4" w:rsidRPr="006A7F93" w:rsidRDefault="006A7F93">
      <w:pPr>
        <w:spacing w:before="60"/>
        <w:ind w:left="141"/>
        <w:rPr>
          <w:b/>
          <w:noProof/>
          <w:sz w:val="31"/>
          <w:lang w:val="et-EE"/>
        </w:rPr>
      </w:pPr>
      <w:r w:rsidRPr="006A7F93">
        <w:rPr>
          <w:noProof/>
          <w:sz w:val="31"/>
          <w:lang w:val="et-EE"/>
        </w:rPr>
        <w:t xml:space="preserve">Residentuuri vastuvõtueksami kordamisküsimused </w:t>
      </w:r>
      <w:r w:rsidRPr="006A7F93">
        <w:rPr>
          <w:b/>
          <w:noProof/>
          <w:sz w:val="31"/>
          <w:lang w:val="et-EE"/>
        </w:rPr>
        <w:t>infektsioonhaiguste</w:t>
      </w:r>
    </w:p>
    <w:p w:rsidR="00782AA4" w:rsidRPr="006A7F93" w:rsidRDefault="006A7F93">
      <w:pPr>
        <w:spacing w:before="285"/>
        <w:ind w:left="3710" w:right="3685"/>
        <w:jc w:val="center"/>
        <w:rPr>
          <w:noProof/>
          <w:sz w:val="31"/>
          <w:lang w:val="et-EE"/>
        </w:rPr>
      </w:pPr>
      <w:r w:rsidRPr="006A7F93">
        <w:rPr>
          <w:noProof/>
          <w:sz w:val="31"/>
          <w:lang w:val="et-EE"/>
        </w:rPr>
        <w:t>erialal 2024.a.</w:t>
      </w:r>
    </w:p>
    <w:p w:rsidR="00782AA4" w:rsidRPr="006A7F93" w:rsidRDefault="00782AA4">
      <w:pPr>
        <w:pStyle w:val="BodyText"/>
        <w:spacing w:before="0"/>
        <w:ind w:left="0"/>
        <w:rPr>
          <w:noProof/>
          <w:sz w:val="34"/>
          <w:lang w:val="et-EE"/>
        </w:rPr>
      </w:pPr>
    </w:p>
    <w:p w:rsidR="00782AA4" w:rsidRPr="006A7F93" w:rsidRDefault="00782AA4">
      <w:pPr>
        <w:pStyle w:val="BodyText"/>
        <w:spacing w:before="4"/>
        <w:ind w:left="0"/>
        <w:rPr>
          <w:noProof/>
          <w:sz w:val="39"/>
          <w:lang w:val="et-EE"/>
        </w:rPr>
      </w:pPr>
    </w:p>
    <w:p w:rsidR="00782AA4" w:rsidRPr="006A7F93" w:rsidRDefault="006A7F93">
      <w:pPr>
        <w:pStyle w:val="Heading1"/>
        <w:numPr>
          <w:ilvl w:val="0"/>
          <w:numId w:val="3"/>
        </w:numPr>
        <w:tabs>
          <w:tab w:val="left" w:pos="370"/>
        </w:tabs>
        <w:rPr>
          <w:noProof/>
          <w:lang w:val="et-EE"/>
        </w:rPr>
      </w:pPr>
      <w:r w:rsidRPr="006A7F93">
        <w:rPr>
          <w:noProof/>
          <w:lang w:val="et-EE"/>
        </w:rPr>
        <w:t>Haigused ja kliinilised</w:t>
      </w:r>
      <w:r w:rsidRPr="006A7F93">
        <w:rPr>
          <w:noProof/>
          <w:spacing w:val="-5"/>
          <w:lang w:val="et-EE"/>
        </w:rPr>
        <w:t xml:space="preserve"> </w:t>
      </w:r>
      <w:r w:rsidRPr="006A7F93">
        <w:rPr>
          <w:noProof/>
          <w:lang w:val="et-EE"/>
        </w:rPr>
        <w:t>sündroomid</w:t>
      </w:r>
    </w:p>
    <w:p w:rsidR="00782AA4" w:rsidRPr="006A7F93" w:rsidRDefault="006A7F93">
      <w:pPr>
        <w:pStyle w:val="BodyText"/>
        <w:spacing w:line="432" w:lineRule="auto"/>
        <w:ind w:left="100" w:right="651"/>
        <w:rPr>
          <w:noProof/>
          <w:lang w:val="et-EE"/>
        </w:rPr>
      </w:pPr>
      <w:r w:rsidRPr="006A7F93">
        <w:rPr>
          <w:noProof/>
          <w:lang w:val="et-EE"/>
        </w:rPr>
        <w:t>Etioloogia, epidemioloogia, patogenees, kliiniline pilt ja vormid. Diagnostika. Ravitaktika. Profülaktika.</w:t>
      </w:r>
    </w:p>
    <w:p w:rsidR="00782AA4" w:rsidRPr="006A7F93" w:rsidRDefault="00782AA4">
      <w:pPr>
        <w:pStyle w:val="BodyText"/>
        <w:spacing w:before="0"/>
        <w:ind w:left="0"/>
        <w:rPr>
          <w:noProof/>
          <w:sz w:val="30"/>
          <w:lang w:val="et-EE"/>
        </w:rPr>
      </w:pPr>
      <w:bookmarkStart w:id="0" w:name="_GoBack"/>
      <w:bookmarkEnd w:id="0"/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23" w:line="432" w:lineRule="auto"/>
        <w:ind w:right="294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Hingamisteede infektsioonid: respiratoorsed viirusinfektsioonid (COVID-19, gripp, RSV), farüngiit, otiit, sinusiit, bronhiit, pneumoonia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9" w:line="432" w:lineRule="auto"/>
        <w:ind w:right="906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Sooleinfektsioonid ja toidumürgitused: soole bakterinfektsioonid,</w:t>
      </w:r>
      <w:r w:rsidRPr="006A7F93">
        <w:rPr>
          <w:noProof/>
          <w:spacing w:val="-5"/>
          <w:sz w:val="27"/>
          <w:lang w:val="et-EE"/>
        </w:rPr>
        <w:t xml:space="preserve"> </w:t>
      </w:r>
      <w:r w:rsidRPr="006A7F93">
        <w:rPr>
          <w:noProof/>
          <w:sz w:val="27"/>
          <w:lang w:val="et-EE"/>
        </w:rPr>
        <w:t>soole viirusinfektsioonid, antibiootikumdiarröa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9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Naha-</w:t>
      </w:r>
      <w:r w:rsidRPr="006A7F93">
        <w:rPr>
          <w:noProof/>
          <w:sz w:val="27"/>
          <w:lang w:val="et-EE"/>
        </w:rPr>
        <w:t xml:space="preserve"> ja pehmete kudede infektsioonid: erysipelas, tselluliit</w:t>
      </w:r>
    </w:p>
    <w:p w:rsidR="00782AA4" w:rsidRPr="006A7F93" w:rsidRDefault="006A7F93">
      <w:pPr>
        <w:pStyle w:val="BodyText"/>
        <w:ind w:left="100"/>
        <w:rPr>
          <w:noProof/>
          <w:lang w:val="et-EE"/>
        </w:rPr>
      </w:pPr>
      <w:r w:rsidRPr="006A7F93">
        <w:rPr>
          <w:noProof/>
          <w:lang w:val="et-EE"/>
        </w:rPr>
        <w:t>1.4 Kuseteede infektsioonid: tsüstiit, püelonefriit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573"/>
        </w:tabs>
        <w:ind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Kesknärvisüteemi infektsioonid: meningiit, entsefaliit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573"/>
        </w:tabs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Viirushepatiidid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573"/>
        </w:tabs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HIV-infektsioon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573"/>
        </w:tabs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 xml:space="preserve">Herpesviirusinfektsioonid: Herpes simplex, </w:t>
      </w:r>
      <w:r w:rsidRPr="006A7F93">
        <w:rPr>
          <w:noProof/>
          <w:spacing w:val="-3"/>
          <w:sz w:val="27"/>
          <w:lang w:val="et-EE"/>
        </w:rPr>
        <w:t xml:space="preserve">Varicella-zoster, </w:t>
      </w:r>
      <w:r w:rsidRPr="006A7F93">
        <w:rPr>
          <w:noProof/>
          <w:spacing w:val="-9"/>
          <w:sz w:val="27"/>
          <w:lang w:val="et-EE"/>
        </w:rPr>
        <w:t>EBV,</w:t>
      </w:r>
      <w:r w:rsidRPr="006A7F93">
        <w:rPr>
          <w:noProof/>
          <w:spacing w:val="14"/>
          <w:sz w:val="27"/>
          <w:lang w:val="et-EE"/>
        </w:rPr>
        <w:t xml:space="preserve"> </w:t>
      </w:r>
      <w:r w:rsidRPr="006A7F93">
        <w:rPr>
          <w:noProof/>
          <w:sz w:val="27"/>
          <w:lang w:val="et-EE"/>
        </w:rPr>
        <w:t>CMV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573"/>
        </w:tabs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Puukidega ülekantavad infektsioonid: puukentsefaliit, puukborrelioos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708"/>
        </w:tabs>
        <w:ind w:left="707" w:hanging="607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Algloomade infektsioonid: malaaria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698"/>
        </w:tabs>
        <w:ind w:left="697" w:hanging="597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Helmintoosid: askariaas, enterobiaas, difüllobotriaas</w:t>
      </w:r>
    </w:p>
    <w:p w:rsidR="00782AA4" w:rsidRPr="006A7F93" w:rsidRDefault="006A7F93">
      <w:pPr>
        <w:pStyle w:val="ListParagraph"/>
        <w:numPr>
          <w:ilvl w:val="1"/>
          <w:numId w:val="2"/>
        </w:numPr>
        <w:tabs>
          <w:tab w:val="left" w:pos="708"/>
        </w:tabs>
        <w:spacing w:line="432" w:lineRule="auto"/>
        <w:ind w:right="1307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Hospitaalinfektsioonid: põiekateetriga seotud urotraktiinfektsioon, ver</w:t>
      </w:r>
      <w:r w:rsidRPr="006A7F93">
        <w:rPr>
          <w:noProof/>
          <w:sz w:val="27"/>
          <w:lang w:val="et-EE"/>
        </w:rPr>
        <w:t>esoonekateetriga seotud vereringeinfektsioon, haiglatekkene- ja ventilaatorpneumoonia, operatsioonipiirkonna infektsioon</w:t>
      </w:r>
    </w:p>
    <w:p w:rsidR="00782AA4" w:rsidRPr="006A7F93" w:rsidRDefault="00782AA4">
      <w:pPr>
        <w:spacing w:line="432" w:lineRule="auto"/>
        <w:rPr>
          <w:noProof/>
          <w:sz w:val="27"/>
          <w:lang w:val="et-EE"/>
        </w:rPr>
        <w:sectPr w:rsidR="00782AA4" w:rsidRPr="006A7F93">
          <w:type w:val="continuous"/>
          <w:pgSz w:w="11920" w:h="16840"/>
          <w:pgMar w:top="1380" w:right="1380" w:bottom="280" w:left="1340" w:header="708" w:footer="708" w:gutter="0"/>
          <w:cols w:space="708"/>
        </w:sectPr>
      </w:pPr>
    </w:p>
    <w:p w:rsidR="00782AA4" w:rsidRPr="006A7F93" w:rsidRDefault="006A7F93">
      <w:pPr>
        <w:pStyle w:val="Heading1"/>
        <w:numPr>
          <w:ilvl w:val="0"/>
          <w:numId w:val="3"/>
        </w:numPr>
        <w:tabs>
          <w:tab w:val="left" w:pos="370"/>
        </w:tabs>
        <w:spacing w:before="60"/>
        <w:rPr>
          <w:noProof/>
          <w:lang w:val="et-EE"/>
        </w:rPr>
      </w:pPr>
      <w:r w:rsidRPr="006A7F93">
        <w:rPr>
          <w:noProof/>
          <w:lang w:val="et-EE"/>
        </w:rPr>
        <w:lastRenderedPageBreak/>
        <w:t>Infektsioonhaiguste ravi ja</w:t>
      </w:r>
      <w:r w:rsidRPr="006A7F93">
        <w:rPr>
          <w:noProof/>
          <w:spacing w:val="-5"/>
          <w:lang w:val="et-EE"/>
        </w:rPr>
        <w:t xml:space="preserve"> </w:t>
      </w:r>
      <w:r w:rsidRPr="006A7F93">
        <w:rPr>
          <w:noProof/>
          <w:lang w:val="et-EE"/>
        </w:rPr>
        <w:t>profülaktika</w:t>
      </w:r>
    </w:p>
    <w:p w:rsidR="00782AA4" w:rsidRPr="006A7F93" w:rsidRDefault="006A7F93">
      <w:pPr>
        <w:pStyle w:val="BodyText"/>
        <w:spacing w:before="249" w:line="432" w:lineRule="auto"/>
        <w:ind w:left="100" w:right="601" w:firstLine="75"/>
        <w:rPr>
          <w:noProof/>
          <w:lang w:val="et-EE"/>
        </w:rPr>
      </w:pPr>
      <w:r w:rsidRPr="006A7F93">
        <w:rPr>
          <w:noProof/>
          <w:lang w:val="et-EE"/>
        </w:rPr>
        <w:t xml:space="preserve">Preparaatide gruppide iseloomustus. Grupisisene võrdlus. Kliiniliselt oluline </w:t>
      </w:r>
      <w:r w:rsidRPr="006A7F93">
        <w:rPr>
          <w:noProof/>
          <w:lang w:val="et-EE"/>
        </w:rPr>
        <w:t>toimespekter. Tähtsamad näidustused. Kõrval- ja koostoimed.</w:t>
      </w:r>
    </w:p>
    <w:p w:rsidR="00782AA4" w:rsidRPr="006A7F93" w:rsidRDefault="00782AA4">
      <w:pPr>
        <w:pStyle w:val="BodyText"/>
        <w:spacing w:before="0"/>
        <w:ind w:left="0"/>
        <w:rPr>
          <w:noProof/>
          <w:sz w:val="30"/>
          <w:lang w:val="et-EE"/>
        </w:rPr>
      </w:pP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22" w:line="432" w:lineRule="auto"/>
        <w:ind w:right="117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Beetalaktaamantibiootikumid: penitsilliinid, tsefalosporiinid, karbapeneemid, kombinatsioonid beetalaktamaasi inhibiitoritega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8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Aminoglükosiidid ja tetratsükliinid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Makroliidid ja linkoosamiidid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Sulfoonamiidid ja nende kombinatsioonid trimeroprimiga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Fluorokinoloonid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Glükopeptiidid ja oksasolidinoonid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Nitroimidasoolid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Nitrofurantoiin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573"/>
        </w:tabs>
        <w:spacing w:before="247"/>
        <w:ind w:left="572" w:hanging="472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Antibiootikumresistentsus (ESBL, MRSA)</w:t>
      </w:r>
    </w:p>
    <w:p w:rsidR="00782AA4" w:rsidRPr="006A7F93" w:rsidRDefault="00782AA4">
      <w:pPr>
        <w:pStyle w:val="BodyText"/>
        <w:spacing w:before="0"/>
        <w:ind w:left="0"/>
        <w:rPr>
          <w:noProof/>
          <w:sz w:val="30"/>
          <w:lang w:val="et-EE"/>
        </w:rPr>
      </w:pPr>
    </w:p>
    <w:p w:rsidR="00782AA4" w:rsidRPr="006A7F93" w:rsidRDefault="00782AA4">
      <w:pPr>
        <w:pStyle w:val="BodyText"/>
        <w:spacing w:before="1"/>
        <w:ind w:left="0"/>
        <w:rPr>
          <w:noProof/>
          <w:sz w:val="40"/>
          <w:lang w:val="et-EE"/>
        </w:rPr>
      </w:pP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708"/>
        </w:tabs>
        <w:spacing w:before="0" w:line="432" w:lineRule="auto"/>
        <w:ind w:right="131" w:firstLine="0"/>
        <w:rPr>
          <w:noProof/>
          <w:sz w:val="27"/>
          <w:lang w:val="et-EE"/>
        </w:rPr>
      </w:pPr>
      <w:r w:rsidRPr="006A7F93">
        <w:rPr>
          <w:noProof/>
          <w:spacing w:val="-3"/>
          <w:sz w:val="27"/>
          <w:lang w:val="et-EE"/>
        </w:rPr>
        <w:t xml:space="preserve">Vaktsiinid </w:t>
      </w:r>
      <w:r w:rsidRPr="006A7F93">
        <w:rPr>
          <w:noProof/>
          <w:sz w:val="27"/>
          <w:lang w:val="et-EE"/>
        </w:rPr>
        <w:t>ja immuunglobuliinid (riiklik immuniseerimiskava, riskigruppide vaktsineerimine)</w:t>
      </w:r>
    </w:p>
    <w:p w:rsidR="00782AA4" w:rsidRPr="006A7F93" w:rsidRDefault="006A7F93">
      <w:pPr>
        <w:pStyle w:val="ListParagraph"/>
        <w:numPr>
          <w:ilvl w:val="1"/>
          <w:numId w:val="3"/>
        </w:numPr>
        <w:tabs>
          <w:tab w:val="left" w:pos="698"/>
        </w:tabs>
        <w:spacing w:before="8"/>
        <w:ind w:left="697" w:hanging="597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Hospitaalinfektsioonide ennetus: käte hügieen, isolatsiooni kategooriad</w:t>
      </w:r>
    </w:p>
    <w:p w:rsidR="00782AA4" w:rsidRPr="006A7F93" w:rsidRDefault="00782AA4">
      <w:pPr>
        <w:pStyle w:val="BodyText"/>
        <w:spacing w:before="0"/>
        <w:ind w:left="0"/>
        <w:rPr>
          <w:noProof/>
          <w:sz w:val="30"/>
          <w:lang w:val="et-EE"/>
        </w:rPr>
      </w:pPr>
    </w:p>
    <w:p w:rsidR="00782AA4" w:rsidRPr="006A7F93" w:rsidRDefault="00782AA4">
      <w:pPr>
        <w:pStyle w:val="BodyText"/>
        <w:spacing w:before="1"/>
        <w:ind w:left="0"/>
        <w:rPr>
          <w:noProof/>
          <w:sz w:val="40"/>
          <w:lang w:val="et-EE"/>
        </w:rPr>
      </w:pPr>
    </w:p>
    <w:p w:rsidR="00782AA4" w:rsidRPr="006A7F93" w:rsidRDefault="006A7F93">
      <w:pPr>
        <w:pStyle w:val="Heading1"/>
        <w:ind w:left="100" w:firstLine="0"/>
        <w:rPr>
          <w:noProof/>
          <w:lang w:val="et-EE"/>
        </w:rPr>
      </w:pPr>
      <w:r w:rsidRPr="006A7F93">
        <w:rPr>
          <w:noProof/>
          <w:lang w:val="et-EE"/>
        </w:rPr>
        <w:t>Kirjandus (moodle.ut.ee)</w:t>
      </w:r>
    </w:p>
    <w:p w:rsidR="00782AA4" w:rsidRPr="006A7F93" w:rsidRDefault="006A7F93">
      <w:pPr>
        <w:pStyle w:val="ListParagraph"/>
        <w:numPr>
          <w:ilvl w:val="0"/>
          <w:numId w:val="1"/>
        </w:numPr>
        <w:tabs>
          <w:tab w:val="left" w:pos="370"/>
        </w:tabs>
        <w:spacing w:before="255" w:line="333" w:lineRule="auto"/>
        <w:ind w:right="1061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Harrison's Principles of Internal Medicine 20</w:t>
      </w:r>
      <w:r w:rsidRPr="006A7F93">
        <w:rPr>
          <w:noProof/>
          <w:position w:val="17"/>
          <w:sz w:val="27"/>
          <w:lang w:val="et-EE"/>
        </w:rPr>
        <w:t xml:space="preserve">th </w:t>
      </w:r>
      <w:r w:rsidRPr="006A7F93">
        <w:rPr>
          <w:noProof/>
          <w:sz w:val="27"/>
          <w:lang w:val="et-EE"/>
        </w:rPr>
        <w:t>ed. Eds.: J. L. Jameson e.a.McGraw Hill Professional, 2018.</w:t>
      </w:r>
    </w:p>
    <w:p w:rsidR="00782AA4" w:rsidRPr="006A7F93" w:rsidRDefault="006A7F93">
      <w:pPr>
        <w:pStyle w:val="ListParagraph"/>
        <w:numPr>
          <w:ilvl w:val="0"/>
          <w:numId w:val="1"/>
        </w:numPr>
        <w:tabs>
          <w:tab w:val="left" w:pos="370"/>
        </w:tabs>
        <w:spacing w:before="0" w:line="240" w:lineRule="exact"/>
        <w:ind w:left="37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M. Maimets. Antibiootikumravi 2016.</w:t>
      </w:r>
    </w:p>
    <w:p w:rsidR="00782AA4" w:rsidRPr="006A7F93" w:rsidRDefault="006A7F93">
      <w:pPr>
        <w:pStyle w:val="ListParagraph"/>
        <w:numPr>
          <w:ilvl w:val="0"/>
          <w:numId w:val="1"/>
        </w:numPr>
        <w:tabs>
          <w:tab w:val="left" w:pos="370"/>
        </w:tabs>
        <w:spacing w:before="46"/>
        <w:ind w:left="37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>Ambulatoorsete infektsioonide ravi. EIS 2018.</w:t>
      </w:r>
    </w:p>
    <w:p w:rsidR="00782AA4" w:rsidRPr="006A7F93" w:rsidRDefault="006A7F93">
      <w:pPr>
        <w:pStyle w:val="ListParagraph"/>
        <w:numPr>
          <w:ilvl w:val="0"/>
          <w:numId w:val="1"/>
        </w:numPr>
        <w:tabs>
          <w:tab w:val="left" w:pos="370"/>
        </w:tabs>
        <w:spacing w:before="46" w:line="276" w:lineRule="auto"/>
        <w:ind w:right="4229" w:firstLine="0"/>
        <w:rPr>
          <w:noProof/>
          <w:sz w:val="27"/>
          <w:lang w:val="et-EE"/>
        </w:rPr>
      </w:pPr>
      <w:r w:rsidRPr="006A7F93">
        <w:rPr>
          <w:noProof/>
          <w:sz w:val="27"/>
          <w:lang w:val="et-EE"/>
        </w:rPr>
        <w:t xml:space="preserve">Antibiootikumravi juhend kliinikumis </w:t>
      </w:r>
      <w:r w:rsidRPr="006A7F93">
        <w:rPr>
          <w:noProof/>
          <w:spacing w:val="-1"/>
          <w:sz w:val="27"/>
          <w:lang w:val="et-EE"/>
        </w:rPr>
        <w:t>(</w:t>
      </w:r>
      <w:hyperlink r:id="rId5">
        <w:r w:rsidRPr="006A7F93">
          <w:rPr>
            <w:noProof/>
            <w:color w:val="1154CC"/>
            <w:spacing w:val="-1"/>
            <w:sz w:val="27"/>
            <w:u w:val="thick" w:color="1154CC"/>
            <w:lang w:val="et-EE"/>
          </w:rPr>
          <w:t>https://www.klii</w:t>
        </w:r>
        <w:r w:rsidRPr="006A7F93">
          <w:rPr>
            <w:noProof/>
            <w:color w:val="1154CC"/>
            <w:spacing w:val="-1"/>
            <w:sz w:val="27"/>
            <w:u w:val="thick" w:color="1154CC"/>
            <w:lang w:val="et-EE"/>
          </w:rPr>
          <w:t>nikum.ee/abr/app/avaleht</w:t>
        </w:r>
      </w:hyperlink>
      <w:r w:rsidRPr="006A7F93">
        <w:rPr>
          <w:noProof/>
          <w:spacing w:val="-1"/>
          <w:sz w:val="27"/>
          <w:lang w:val="et-EE"/>
        </w:rPr>
        <w:t>).</w:t>
      </w:r>
    </w:p>
    <w:sectPr w:rsidR="00782AA4" w:rsidRPr="006A7F93">
      <w:pgSz w:w="11920" w:h="16840"/>
      <w:pgMar w:top="1380" w:right="15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AC7"/>
    <w:multiLevelType w:val="hybridMultilevel"/>
    <w:tmpl w:val="145C7F8C"/>
    <w:lvl w:ilvl="0" w:tplc="B3B01110">
      <w:start w:val="1"/>
      <w:numFmt w:val="decimal"/>
      <w:lvlText w:val="%1."/>
      <w:lvlJc w:val="left"/>
      <w:pPr>
        <w:ind w:left="100" w:hanging="2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1" w:tplc="E63A00F2">
      <w:numFmt w:val="bullet"/>
      <w:lvlText w:val="•"/>
      <w:lvlJc w:val="left"/>
      <w:pPr>
        <w:ind w:left="996" w:hanging="270"/>
      </w:pPr>
      <w:rPr>
        <w:rFonts w:hint="default"/>
      </w:rPr>
    </w:lvl>
    <w:lvl w:ilvl="2" w:tplc="8FD08B88">
      <w:numFmt w:val="bullet"/>
      <w:lvlText w:val="•"/>
      <w:lvlJc w:val="left"/>
      <w:pPr>
        <w:ind w:left="1892" w:hanging="270"/>
      </w:pPr>
      <w:rPr>
        <w:rFonts w:hint="default"/>
      </w:rPr>
    </w:lvl>
    <w:lvl w:ilvl="3" w:tplc="7E32B67C">
      <w:numFmt w:val="bullet"/>
      <w:lvlText w:val="•"/>
      <w:lvlJc w:val="left"/>
      <w:pPr>
        <w:ind w:left="2788" w:hanging="270"/>
      </w:pPr>
      <w:rPr>
        <w:rFonts w:hint="default"/>
      </w:rPr>
    </w:lvl>
    <w:lvl w:ilvl="4" w:tplc="33D24596">
      <w:numFmt w:val="bullet"/>
      <w:lvlText w:val="•"/>
      <w:lvlJc w:val="left"/>
      <w:pPr>
        <w:ind w:left="3684" w:hanging="270"/>
      </w:pPr>
      <w:rPr>
        <w:rFonts w:hint="default"/>
      </w:rPr>
    </w:lvl>
    <w:lvl w:ilvl="5" w:tplc="12EEA788">
      <w:numFmt w:val="bullet"/>
      <w:lvlText w:val="•"/>
      <w:lvlJc w:val="left"/>
      <w:pPr>
        <w:ind w:left="4580" w:hanging="270"/>
      </w:pPr>
      <w:rPr>
        <w:rFonts w:hint="default"/>
      </w:rPr>
    </w:lvl>
    <w:lvl w:ilvl="6" w:tplc="B7CEE100">
      <w:numFmt w:val="bullet"/>
      <w:lvlText w:val="•"/>
      <w:lvlJc w:val="left"/>
      <w:pPr>
        <w:ind w:left="5476" w:hanging="270"/>
      </w:pPr>
      <w:rPr>
        <w:rFonts w:hint="default"/>
      </w:rPr>
    </w:lvl>
    <w:lvl w:ilvl="7" w:tplc="453C5ED0">
      <w:numFmt w:val="bullet"/>
      <w:lvlText w:val="•"/>
      <w:lvlJc w:val="left"/>
      <w:pPr>
        <w:ind w:left="6372" w:hanging="270"/>
      </w:pPr>
      <w:rPr>
        <w:rFonts w:hint="default"/>
      </w:rPr>
    </w:lvl>
    <w:lvl w:ilvl="8" w:tplc="C27A51AA">
      <w:numFmt w:val="bullet"/>
      <w:lvlText w:val="•"/>
      <w:lvlJc w:val="left"/>
      <w:pPr>
        <w:ind w:left="7268" w:hanging="270"/>
      </w:pPr>
      <w:rPr>
        <w:rFonts w:hint="default"/>
      </w:rPr>
    </w:lvl>
  </w:abstractNum>
  <w:abstractNum w:abstractNumId="1" w15:restartNumberingAfterBreak="0">
    <w:nsid w:val="32645C3E"/>
    <w:multiLevelType w:val="multilevel"/>
    <w:tmpl w:val="05D2B67E"/>
    <w:lvl w:ilvl="0">
      <w:start w:val="1"/>
      <w:numFmt w:val="decimal"/>
      <w:lvlText w:val="%1"/>
      <w:lvlJc w:val="left"/>
      <w:pPr>
        <w:ind w:left="572" w:hanging="47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1537" w:hanging="473"/>
      </w:pPr>
      <w:rPr>
        <w:rFonts w:hint="default"/>
      </w:rPr>
    </w:lvl>
    <w:lvl w:ilvl="3">
      <w:numFmt w:val="bullet"/>
      <w:lvlText w:val="•"/>
      <w:lvlJc w:val="left"/>
      <w:pPr>
        <w:ind w:left="2495" w:hanging="473"/>
      </w:pPr>
      <w:rPr>
        <w:rFonts w:hint="default"/>
      </w:rPr>
    </w:lvl>
    <w:lvl w:ilvl="4">
      <w:numFmt w:val="bullet"/>
      <w:lvlText w:val="•"/>
      <w:lvlJc w:val="left"/>
      <w:pPr>
        <w:ind w:left="3453" w:hanging="473"/>
      </w:pPr>
      <w:rPr>
        <w:rFonts w:hint="default"/>
      </w:rPr>
    </w:lvl>
    <w:lvl w:ilvl="5">
      <w:numFmt w:val="bullet"/>
      <w:lvlText w:val="•"/>
      <w:lvlJc w:val="left"/>
      <w:pPr>
        <w:ind w:left="4411" w:hanging="473"/>
      </w:pPr>
      <w:rPr>
        <w:rFonts w:hint="default"/>
      </w:rPr>
    </w:lvl>
    <w:lvl w:ilvl="6">
      <w:numFmt w:val="bullet"/>
      <w:lvlText w:val="•"/>
      <w:lvlJc w:val="left"/>
      <w:pPr>
        <w:ind w:left="5368" w:hanging="473"/>
      </w:pPr>
      <w:rPr>
        <w:rFonts w:hint="default"/>
      </w:rPr>
    </w:lvl>
    <w:lvl w:ilvl="7">
      <w:numFmt w:val="bullet"/>
      <w:lvlText w:val="•"/>
      <w:lvlJc w:val="left"/>
      <w:pPr>
        <w:ind w:left="6326" w:hanging="473"/>
      </w:pPr>
      <w:rPr>
        <w:rFonts w:hint="default"/>
      </w:rPr>
    </w:lvl>
    <w:lvl w:ilvl="8">
      <w:numFmt w:val="bullet"/>
      <w:lvlText w:val="•"/>
      <w:lvlJc w:val="left"/>
      <w:pPr>
        <w:ind w:left="7284" w:hanging="473"/>
      </w:pPr>
      <w:rPr>
        <w:rFonts w:hint="default"/>
      </w:rPr>
    </w:lvl>
  </w:abstractNum>
  <w:abstractNum w:abstractNumId="2" w15:restartNumberingAfterBreak="0">
    <w:nsid w:val="34D50D47"/>
    <w:multiLevelType w:val="multilevel"/>
    <w:tmpl w:val="8982B2A8"/>
    <w:lvl w:ilvl="0">
      <w:start w:val="1"/>
      <w:numFmt w:val="decimal"/>
      <w:lvlText w:val="%1."/>
      <w:lvlJc w:val="left"/>
      <w:pPr>
        <w:ind w:left="370" w:hanging="27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7"/>
        <w:szCs w:val="27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1344" w:hanging="473"/>
      </w:pPr>
      <w:rPr>
        <w:rFonts w:hint="default"/>
      </w:rPr>
    </w:lvl>
    <w:lvl w:ilvl="3">
      <w:numFmt w:val="bullet"/>
      <w:lvlText w:val="•"/>
      <w:lvlJc w:val="left"/>
      <w:pPr>
        <w:ind w:left="2308" w:hanging="473"/>
      </w:pPr>
      <w:rPr>
        <w:rFonts w:hint="default"/>
      </w:rPr>
    </w:lvl>
    <w:lvl w:ilvl="4">
      <w:numFmt w:val="bullet"/>
      <w:lvlText w:val="•"/>
      <w:lvlJc w:val="left"/>
      <w:pPr>
        <w:ind w:left="3273" w:hanging="473"/>
      </w:pPr>
      <w:rPr>
        <w:rFonts w:hint="default"/>
      </w:rPr>
    </w:lvl>
    <w:lvl w:ilvl="5">
      <w:numFmt w:val="bullet"/>
      <w:lvlText w:val="•"/>
      <w:lvlJc w:val="left"/>
      <w:pPr>
        <w:ind w:left="4237" w:hanging="473"/>
      </w:pPr>
      <w:rPr>
        <w:rFonts w:hint="default"/>
      </w:rPr>
    </w:lvl>
    <w:lvl w:ilvl="6">
      <w:numFmt w:val="bullet"/>
      <w:lvlText w:val="•"/>
      <w:lvlJc w:val="left"/>
      <w:pPr>
        <w:ind w:left="5202" w:hanging="473"/>
      </w:pPr>
      <w:rPr>
        <w:rFonts w:hint="default"/>
      </w:rPr>
    </w:lvl>
    <w:lvl w:ilvl="7">
      <w:numFmt w:val="bullet"/>
      <w:lvlText w:val="•"/>
      <w:lvlJc w:val="left"/>
      <w:pPr>
        <w:ind w:left="6166" w:hanging="473"/>
      </w:pPr>
      <w:rPr>
        <w:rFonts w:hint="default"/>
      </w:rPr>
    </w:lvl>
    <w:lvl w:ilvl="8">
      <w:numFmt w:val="bullet"/>
      <w:lvlText w:val="•"/>
      <w:lvlJc w:val="left"/>
      <w:pPr>
        <w:ind w:left="7131" w:hanging="47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2AA4"/>
    <w:rsid w:val="006A7F93"/>
    <w:rsid w:val="007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062F-9DA1-4A94-B1DE-C6ECD67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0" w:hanging="27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8"/>
      <w:ind w:left="572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248"/>
      <w:ind w:left="572" w:hanging="4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iinikum.ee/abr/app/avale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1857</Characters>
  <Application>Microsoft Office Word</Application>
  <DocSecurity>0</DocSecurity>
  <Lines>15</Lines>
  <Paragraphs>4</Paragraphs>
  <ScaleCrop>false</ScaleCrop>
  <Company>Tartu Ülikool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Kordamisküsimused 2024</dc:title>
  <cp:lastModifiedBy>Halja Suss</cp:lastModifiedBy>
  <cp:revision>2</cp:revision>
  <dcterms:created xsi:type="dcterms:W3CDTF">2024-05-07T10:05:00Z</dcterms:created>
  <dcterms:modified xsi:type="dcterms:W3CDTF">2024-05-07T07:05:00Z</dcterms:modified>
</cp:coreProperties>
</file>